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5A5BD3">
        <w:tab/>
        <w:t>: Prof. Dr. Erdal TERCAN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5A5BD3">
        <w:t>(Kurum)</w:t>
      </w:r>
      <w:r w:rsidR="005A5BD3">
        <w:tab/>
        <w:t xml:space="preserve">: Ankara Üniversitesi- Anayasa Mahkemesi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proofErr w:type="gramStart"/>
      <w:r w:rsidR="005A5BD3">
        <w:t>Hakimlerin</w:t>
      </w:r>
      <w:proofErr w:type="gramEnd"/>
      <w:r w:rsidR="005A5BD3">
        <w:t xml:space="preserve"> Sorumluluğu   </w:t>
      </w:r>
      <w:r w:rsidR="004F7A00">
        <w:t xml:space="preserve"> </w:t>
      </w:r>
      <w:r>
        <w:t>(</w:t>
      </w:r>
      <w:r w:rsidR="00D9512D">
        <w:t>Yıl</w:t>
      </w:r>
      <w:r w:rsidR="005A5BD3">
        <w:t>: 1988</w:t>
      </w:r>
      <w:r>
        <w:t>)</w:t>
      </w:r>
    </w:p>
    <w:p w:rsidR="004F7A00" w:rsidRDefault="005A5BD3" w:rsidP="005A5BD3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Ramazan ARSLAN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5A5BD3">
        <w:t>nstitü</w:t>
      </w:r>
      <w:r w:rsidR="005A5BD3">
        <w:tab/>
        <w:t xml:space="preserve">: Ankara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5A5BD3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İflasın Sözleşmelere Etkisi  (Yıl: 1994</w:t>
      </w:r>
      <w:r w:rsidR="00D9512D">
        <w:t>)</w:t>
      </w:r>
    </w:p>
    <w:p w:rsidR="00D9512D" w:rsidRDefault="005A5BD3" w:rsidP="005A5BD3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Ejder YILMAZ 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5A5BD3">
        <w:t>nstitü</w:t>
      </w:r>
      <w:r w:rsidR="005A5BD3">
        <w:tab/>
        <w:t xml:space="preserve">: Ankara Üniversitesi Sosyal Bilimler Enstitüsü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0991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0991">
        <w:t>: Medeni Usul Hukukunda Tarafların İsticvabı  (Yıl: 2000</w:t>
      </w:r>
      <w:r w:rsidR="00D9512D">
        <w:t>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711C4B" w:rsidRDefault="000855E2" w:rsidP="00D90991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</w:r>
      <w:r w:rsidR="00D90991">
        <w:t xml:space="preserve">: </w:t>
      </w:r>
      <w:r w:rsidR="00D90991" w:rsidRPr="00D90991">
        <w:t>Medeni Usul Hukukunda Kesin Sürelerin Kaçır</w:t>
      </w:r>
      <w:r w:rsidR="00D90991">
        <w:t xml:space="preserve">ılması </w:t>
      </w:r>
    </w:p>
    <w:p w:rsidR="00D90991" w:rsidRPr="00711C4B" w:rsidRDefault="00D90991" w:rsidP="00D90991">
      <w:pPr>
        <w:pStyle w:val="ListeParagraf"/>
      </w:pPr>
      <w:r>
        <w:tab/>
      </w:r>
      <w:r>
        <w:tab/>
      </w:r>
      <w:r>
        <w:tab/>
      </w:r>
      <w:r>
        <w:tab/>
        <w:t xml:space="preserve">  Halinde Eski Hale Getirme  ( Yıl: 2006)</w:t>
      </w:r>
      <w:bookmarkStart w:id="0" w:name="_GoBack"/>
      <w:bookmarkEnd w:id="0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E4" w:rsidRDefault="00B070E4" w:rsidP="00EE74CE">
      <w:pPr>
        <w:spacing w:after="0" w:line="240" w:lineRule="auto"/>
      </w:pPr>
      <w:r>
        <w:separator/>
      </w:r>
    </w:p>
  </w:endnote>
  <w:endnote w:type="continuationSeparator" w:id="0">
    <w:p w:rsidR="00B070E4" w:rsidRDefault="00B070E4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E4" w:rsidRDefault="00B070E4" w:rsidP="00EE74CE">
      <w:pPr>
        <w:spacing w:after="0" w:line="240" w:lineRule="auto"/>
      </w:pPr>
      <w:r>
        <w:separator/>
      </w:r>
    </w:p>
  </w:footnote>
  <w:footnote w:type="continuationSeparator" w:id="0">
    <w:p w:rsidR="00B070E4" w:rsidRDefault="00B070E4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A5BD3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070E4"/>
    <w:rsid w:val="00B642B3"/>
    <w:rsid w:val="00B747BB"/>
    <w:rsid w:val="00BA1DEB"/>
    <w:rsid w:val="00C263D2"/>
    <w:rsid w:val="00C70936"/>
    <w:rsid w:val="00CA5F19"/>
    <w:rsid w:val="00CC7631"/>
    <w:rsid w:val="00CD18A6"/>
    <w:rsid w:val="00D36F4B"/>
    <w:rsid w:val="00D90991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0166-4A5C-45AA-8F8C-EEC35B05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9</cp:revision>
  <cp:lastPrinted>2015-10-06T13:23:00Z</cp:lastPrinted>
  <dcterms:created xsi:type="dcterms:W3CDTF">2015-08-07T12:00:00Z</dcterms:created>
  <dcterms:modified xsi:type="dcterms:W3CDTF">2016-03-01T13:41:00Z</dcterms:modified>
</cp:coreProperties>
</file>